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104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68"/>
        <w:gridCol w:w="8752"/>
      </w:tblGrid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1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Здравствуйте, уважаемые коллеги! Сегодня я начну с общих оснований    формирования муниципальной системы сетевого наставничества.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Потребность в расширении практик наставничества становится все более актуальной. Система наставничества  рассматривается как инструмент наращивания профессиональных компетенций педагогов и соответственно инструмент повышения качества образования.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2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Сейчас перед вами определенный алгоритм действий по развитию наставничества в широком его смысле, в частности же сетевого наставничества. 1м действием является подготовка условий для реализации программы наставничества…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Далее.. 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Слайд 3 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Так как обязательным условием является нормативно-правовое обеспечение наставничества начнем с перечня федеральных документов. Так в пункте 29 распоряжения Правительства РФ от 31.12.2019г говорится о разработке и внедрении наставничества пед работников в ОО.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4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 следующем слайде представлены региональные НПА, и хотелось бы обратить ваше внимание на последние документы: ДК по реализации региональной программы развития системы наставничества и методологию наставничества.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5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Реализации системы наставничества и осуществление методической поддержки молодых педагогов является одним из показателей муниципальной системы обеспечения ПРПР. Был разработан ряд  муниципальных НПА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Слайд 6 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Так как главными участниками наставничества являются непосредственно педагоги ОО, то здесь представлен перечень локальных документов, обязательных для разработки и реализации в ОО.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highlight w:val="yellow"/>
                <w:lang w:val="ru-RU" w:eastAsia="en-US" w:bidi="ar-SA"/>
              </w:rPr>
              <w:t>Так в декабре нами был проведен мониторинг и анализ НПА по наставничеству в ОО города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…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7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Существуют различные определения понятия «наставничество». Мы используем определение наставничества как универсальной технологии передачи опыта, знаний, формирования навыков, компетенций и ценностей через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неформальное взаимообогащающее общение,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основанное на доверии и партнерстве. Вот основные термины, которыми мы оперируем.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8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Основные цели наставничества – это максимально полное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раскрытие потенциала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личности для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профессиональной реализации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и создание условий для поддержки и самоопределения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педагогов разного уровня образования и молодых специалистов.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9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Как вы видите, мы делаем акцент на формировании именно сетевого наставничества, целью которого является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оказание помощи наставляемому из одной образовательной организации в его профессиональном росте наставником из другой образовательной организации.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Соответственно определены задачи, по решению которых ведется работа. Уже разработаны основные нормативно-правовые документы, готовится мониторинг профессиональных дефицитов наставляемых, в работе задача создания и совершенствования системы поддержки педагогов через внедрение эффективных форм взаимодействия между педагогами и формирования информационно-коммуникативного пространства для обмена опытом.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Вот о реализации этих задач мы и будем сегодня говорить.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Слайд 10 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Как показал опрос, проведенный в начале года, 92% ОО считают развитие сетевого наставничества необходимым.  И действительно запросы на адресную помощь наставников от школ поступают к нам.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11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highlight w:val="yellow"/>
                <w:lang w:val="ru-RU" w:eastAsia="en-US" w:bidi="ar-SA"/>
              </w:rPr>
              <w:t>Здесь представлена структура управления сетевым наставничеством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12, 13 и 14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highlight w:val="yellow"/>
                <w:lang w:val="ru-RU" w:eastAsia="en-US" w:bidi="ar-SA"/>
              </w:rPr>
              <w:t>В реализуемой Программе сетевого наставничества представлены две модели взаимодействия между участниками сетевого наставничества: это вертикальная, представляющая собой взаимодействие субъектов муниципального уровня и уровня образовательной организации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22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2 шагом нашего алгоритма действий является формирование базы наставляемых. 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Прежде всего это молодые педагоги. У нас сформирована и будет обновляться база данных молодых педагогов города, создана Ассоциация МП, разработана Программа организации работы с МП, в рамках которой проводились семинары для МП.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Но также есть педагоги, пришедшие из других учреждений или прошедшие переподготовку и имеющие определенные профессиональные затруднения, т.е. наши потенциальные наставляемые, которые тоже требуют поддержки. 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26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Есть определенные критерии отбора наставников, и приоритетным на наш взгляд является </w:t>
            </w:r>
            <w:r>
              <w:rPr>
                <w:rFonts w:eastAsia="Calibri" w:cs="Times New Roman" w:ascii="Times New Roman" w:hAnsi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личное желание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человека, которое влияет на всю его деятельность в этой роли. Ответы наших коллег позволяют нам ждать отклик у педагогов города и надеяться, что найдутся желающие стать наставниками.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 данный момент мы находимся на этапе отбора наставников, для которых в соответствии с выявленным запросом будет организовано обучение.</w:t>
            </w:r>
          </w:p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Говоря об обучении стоит отметить, что методическая поддержка педагогов осуществляется в рамках деятельности МПЦ, МИПов и сетевого взаимодействия ОО.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15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Дальнейшие действия будут направлены на формирование и организацию работы наставнических пар и групп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Слайд 29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Как говорилось раннее, актуальным является организация тьюторского сопровождения педагогов, направленное на профессиональное развитие  по индивидуальной траектории с учетом его интересов и потребностей.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highlight w:val="yellow"/>
                <w:lang w:val="ru-RU" w:eastAsia="en-US" w:bidi="ar-SA"/>
              </w:rPr>
              <w:t>ИОМ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Слайд 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 заключительное значимое действие – это мониторинг и анализ результатов работы наставников и наставляемых, необходимые для успешной и эффективной организации наставничества в системе общего образования города.</w:t>
            </w:r>
          </w:p>
        </w:tc>
      </w:tr>
      <w:tr>
        <w:trPr/>
        <w:tc>
          <w:tcPr>
            <w:tcW w:w="1668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Слайд </w:t>
            </w:r>
          </w:p>
        </w:tc>
        <w:tc>
          <w:tcPr>
            <w:tcW w:w="8752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Спасибо за внимание!!!</w:t>
            </w:r>
            <w:bookmarkStart w:id="0" w:name="_GoBack"/>
            <w:bookmarkEnd w:id="0"/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t xml:space="preserve">С </w:t>
      </w:r>
    </w:p>
    <w:sectPr>
      <w:type w:val="nextPage"/>
      <w:pgSz w:w="11906" w:h="16838"/>
      <w:pgMar w:left="1077" w:right="624" w:gutter="0" w:header="0" w:top="624" w:footer="0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7b4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bf086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f086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Application>LibreOffice/7.3.0.3$Windows_X86_64 LibreOffice_project/0f246aa12d0eee4a0f7adcefbf7c878fc2238db3</Application>
  <AppVersion>15.0000</AppVersion>
  <Pages>2</Pages>
  <Words>627</Words>
  <Characters>4462</Characters>
  <CharactersWithSpaces>5063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2021-08-25T11:45:00Z</dcterms:created>
  <dc:creator>User</dc:creator>
  <dc:description/>
  <dc:language>ru-RU</dc:language>
  <cp:lastModifiedBy>User</cp:lastModifiedBy>
  <dcterms:modified xsi:type="dcterms:W3CDTF">2022-02-04T03:57:00Z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