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tLeast" w:line="274" w:before="0" w:after="0"/>
        <w:ind w:right="75" w:hanging="0"/>
        <w:jc w:val="center"/>
        <w:textAlignment w:val="baseline"/>
        <w:rPr>
          <w:rFonts w:ascii="Tahoma" w:hAnsi="Tahoma" w:eastAsia="Times New Roman" w:cs="Tahoma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О правилах приема в</w:t>
      </w:r>
    </w:p>
    <w:p>
      <w:pPr>
        <w:pStyle w:val="Normal"/>
        <w:shd w:val="clear" w:color="auto" w:fill="FFFFFF"/>
        <w:spacing w:lineRule="atLeast" w:line="274" w:before="0" w:after="0"/>
        <w:ind w:right="75" w:hanging="0"/>
        <w:jc w:val="center"/>
        <w:textAlignment w:val="baseline"/>
        <w:rPr>
          <w:rFonts w:ascii="Tahoma" w:hAnsi="Tahoma" w:eastAsia="Times New Roman" w:cs="Tahoma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МБОУ «СОШ №51 г. Улан-Удэ»</w:t>
      </w:r>
    </w:p>
    <w:p>
      <w:pPr>
        <w:pStyle w:val="Normal"/>
        <w:shd w:val="clear" w:color="auto" w:fill="FFFFFF"/>
        <w:spacing w:lineRule="atLeast" w:line="274" w:before="0" w:after="0"/>
        <w:ind w:right="75" w:hanging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на 2022-2023 учебный год</w:t>
      </w:r>
    </w:p>
    <w:p>
      <w:pPr>
        <w:pStyle w:val="Normal"/>
        <w:shd w:val="clear" w:color="auto" w:fill="FFFFFF"/>
        <w:spacing w:lineRule="atLeast" w:line="274" w:before="0" w:after="0"/>
        <w:ind w:right="75" w:hanging="0"/>
        <w:jc w:val="center"/>
        <w:textAlignment w:val="baseline"/>
        <w:rPr>
          <w:rFonts w:ascii="Tahoma" w:hAnsi="Tahoma" w:eastAsia="Times New Roman" w:cs="Tahoma"/>
          <w:sz w:val="21"/>
          <w:szCs w:val="21"/>
          <w:lang w:eastAsia="ru-RU"/>
        </w:rPr>
      </w:pPr>
      <w:r>
        <w:rPr>
          <w:rFonts w:eastAsia="Times New Roman" w:cs="Tahoma" w:ascii="Tahoma" w:hAnsi="Tahoma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ahoma" w:hAnsi="Tahoma" w:eastAsia="Times New Roman" w:cs="Tahoma"/>
          <w:color w:val="555555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555555"/>
          <w:sz w:val="28"/>
          <w:szCs w:val="28"/>
          <w:lang w:eastAsia="ru-RU"/>
        </w:rPr>
        <w:t xml:space="preserve">  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С 22 сентября 2020 года действует новый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2 сентября 2020 года № 458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(приказ Министерства образования и науки Российской Федерации от 22 января 2014 года № 32 «Об утверждении Порядка приема граждан на обучение по образовательным программа начального общего, основного общего и среднего общего образования»  утратил силу).</w:t>
      </w:r>
    </w:p>
    <w:p>
      <w:pPr>
        <w:pStyle w:val="Normal"/>
        <w:shd w:val="clear" w:color="auto" w:fill="FFFFFF"/>
        <w:spacing w:lineRule="atLeast" w:line="330" w:before="0" w:after="0"/>
        <w:rPr>
          <w:rFonts w:ascii="Tahoma" w:hAnsi="Tahoma" w:eastAsia="Times New Roman" w:cs="Tahoma"/>
          <w:color w:val="000000"/>
          <w:sz w:val="21"/>
          <w:szCs w:val="21"/>
          <w:lang w:eastAsia="ru-RU"/>
        </w:rPr>
      </w:pPr>
      <w:r>
        <w:rPr>
          <w:rFonts w:eastAsia="Times New Roman" w:cs="Tahoma" w:ascii="Tahoma" w:hAnsi="Tahoma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33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Сроки  приема документов</w:t>
      </w:r>
    </w:p>
    <w:p>
      <w:pPr>
        <w:pStyle w:val="Normal"/>
        <w:shd w:val="clear" w:color="auto" w:fill="FFFFFF"/>
        <w:spacing w:lineRule="atLeast" w:line="33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Прием заявлений в первый класс для детей, имеющих право на внеочередной или первоочередной прием, право преимущественного приема, проживающих на закрепленной территории, начинается </w:t>
      </w:r>
    </w:p>
    <w:p>
      <w:pPr>
        <w:pStyle w:val="Normal"/>
        <w:shd w:val="clear" w:color="auto" w:fill="FFFFFF"/>
        <w:spacing w:lineRule="atLeast" w:line="330" w:before="0" w:after="0"/>
        <w:jc w:val="both"/>
        <w:rPr>
          <w:rFonts w:ascii="Times New Roman" w:hAnsi="Times New Roman" w:eastAsia="Times New Roman" w:cs="Times New Roman"/>
          <w:b/>
          <w:b/>
          <w:bCs/>
          <w:color w:val="FF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8"/>
          <w:szCs w:val="28"/>
          <w:lang w:eastAsia="ru-RU"/>
        </w:rPr>
        <w:t>1 апреля и завершается 30 июня 2022 г</w:t>
      </w:r>
    </w:p>
    <w:p>
      <w:pPr>
        <w:pStyle w:val="Normal"/>
        <w:shd w:val="clear" w:color="auto" w:fill="FFFFFF"/>
        <w:spacing w:lineRule="atLeast" w:line="330" w:before="0" w:after="0"/>
        <w:jc w:val="both"/>
        <w:rPr>
          <w:rFonts w:ascii="Tahoma" w:hAnsi="Tahoma" w:eastAsia="Times New Roman" w:cs="Tahoma"/>
          <w:color w:val="555555"/>
          <w:sz w:val="21"/>
          <w:szCs w:val="21"/>
          <w:lang w:eastAsia="ru-RU"/>
        </w:rPr>
      </w:pPr>
      <w:r>
        <w:rPr>
          <w:rFonts w:eastAsia="Times New Roman" w:cs="Tahoma" w:ascii="Tahoma" w:hAnsi="Tahoma"/>
          <w:color w:val="555555"/>
          <w:sz w:val="21"/>
          <w:szCs w:val="21"/>
          <w:lang w:eastAsia="ru-RU"/>
        </w:rPr>
      </w:r>
    </w:p>
    <w:tbl>
      <w:tblPr>
        <w:tblW w:w="9420" w:type="dxa"/>
        <w:jc w:val="left"/>
        <w:tblInd w:w="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90"/>
        <w:gridCol w:w="3813"/>
        <w:gridCol w:w="3117"/>
      </w:tblGrid>
      <w:tr>
        <w:trPr/>
        <w:tc>
          <w:tcPr>
            <w:tcW w:w="2490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3813" w:type="dxa"/>
            <w:tcBorders>
              <w:top w:val="single" w:sz="8" w:space="0" w:color="555555"/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Льготники</w:t>
            </w:r>
          </w:p>
        </w:tc>
        <w:tc>
          <w:tcPr>
            <w:tcW w:w="3117" w:type="dxa"/>
            <w:tcBorders>
              <w:top w:val="single" w:sz="8" w:space="0" w:color="555555"/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Основание</w:t>
            </w:r>
          </w:p>
        </w:tc>
      </w:tr>
      <w:tr>
        <w:trPr/>
        <w:tc>
          <w:tcPr>
            <w:tcW w:w="9420" w:type="dxa"/>
            <w:gridSpan w:val="3"/>
            <w:tcBorders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Прием в первую очередь</w:t>
            </w:r>
          </w:p>
        </w:tc>
      </w:tr>
      <w:tr>
        <w:trPr/>
        <w:tc>
          <w:tcPr>
            <w:tcW w:w="2490" w:type="dxa"/>
            <w:vMerge w:val="restart"/>
            <w:tcBorders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Общеобразовательные организации</w:t>
            </w:r>
          </w:p>
        </w:tc>
        <w:tc>
          <w:tcPr>
            <w:tcW w:w="3813" w:type="dxa"/>
            <w:tcBorders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Дети военнослужащих, проходящих военную службу по контракту, уволенных с военной службы при достижении ими предельного возраста пребывания на военной службе, по состоянию здоровья или в связи с организационно-штатными мероприятиями</w:t>
            </w:r>
          </w:p>
        </w:tc>
        <w:tc>
          <w:tcPr>
            <w:tcW w:w="3117" w:type="dxa"/>
            <w:tcBorders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ч.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6 ст. 19 Федерального закона от 27.05.1998 № 76-ФЗ </w:t>
            </w:r>
            <w:hyperlink r:id="rId2" w:tgtFrame="[#262]  \l /document/99/565697396/ZAP2FK83KD/">
              <w:r>
                <w:rPr>
                  <w:rFonts w:cs="Times New Roman" w:ascii="Times New Roman" w:hAnsi="Times New Roman"/>
                  <w:color w:val="000000"/>
                  <w:sz w:val="24"/>
                  <w:szCs w:val="24"/>
                </w:rPr>
                <w:t>п. 10 Порядка, утв. приказом Минпросвещения от 02.09.2020 № 458</w:t>
              </w:r>
            </w:hyperlink>
          </w:p>
        </w:tc>
      </w:tr>
      <w:tr>
        <w:trPr/>
        <w:tc>
          <w:tcPr>
            <w:tcW w:w="2490" w:type="dxa"/>
            <w:vMerge w:val="continue"/>
            <w:tcBorders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ahoma" w:ascii="Tahoma" w:hAnsi="Tahoma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W w:w="3813" w:type="dxa"/>
            <w:tcBorders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Дети сотрудников полиции и граждан, которые перечислены в ч. 6 ст. 46 Федерального закона от 07.02.2011 № 3-ФЗ</w:t>
            </w:r>
          </w:p>
        </w:tc>
        <w:tc>
          <w:tcPr>
            <w:tcW w:w="3117" w:type="dxa"/>
            <w:tcBorders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ч. 6 ст. 46 Федерального закона от 07.02.2011 № 3-ФЗ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п. 10 Порядка, утв. приказом Минпросвещения от 02.09.2020 № 458</w:t>
            </w:r>
          </w:p>
        </w:tc>
      </w:tr>
      <w:tr>
        <w:trPr/>
        <w:tc>
          <w:tcPr>
            <w:tcW w:w="2490" w:type="dxa"/>
            <w:vMerge w:val="continue"/>
            <w:tcBorders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ahoma" w:ascii="Tahoma" w:hAnsi="Tahoma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W w:w="3813" w:type="dxa"/>
            <w:tcBorders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Дети сотрудников органов внутренних дел, кроме полиции</w:t>
            </w:r>
          </w:p>
        </w:tc>
        <w:tc>
          <w:tcPr>
            <w:tcW w:w="3117" w:type="dxa"/>
            <w:tcBorders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ч. 2 ст. 56 Федерального закона от 07.02.2011 № 3-ФЗ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п. 10 Порядка, утв. приказом Минпросвещения от 02.09.2020 № 458</w:t>
            </w:r>
          </w:p>
        </w:tc>
      </w:tr>
      <w:tr>
        <w:trPr>
          <w:trHeight w:val="2178" w:hRule="atLeast"/>
        </w:trPr>
        <w:tc>
          <w:tcPr>
            <w:tcW w:w="2490" w:type="dxa"/>
            <w:vMerge w:val="continue"/>
            <w:tcBorders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ahoma" w:ascii="Tahoma" w:hAnsi="Tahoma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W w:w="3813" w:type="dxa"/>
            <w:tcBorders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Дети сотрудников органов уголовно-исполнительной системы, Федеральной противопожарной службы госпожнадзора, таможенных органов и граждан, которые перечислены в ч. 14 ст. 3 Федерального закона от 30.12.2012 № 283-ФЗ</w:t>
            </w:r>
          </w:p>
        </w:tc>
        <w:tc>
          <w:tcPr>
            <w:tcW w:w="3117" w:type="dxa"/>
            <w:tcBorders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ч. 14 ст. 3 Федерального закона от 30.12.2012 № 283-ФЗ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п. 10 Порядка, утв. приказом Минпросвещения от 02.09.2020 № 458</w:t>
            </w:r>
          </w:p>
        </w:tc>
      </w:tr>
      <w:tr>
        <w:trPr/>
        <w:tc>
          <w:tcPr>
            <w:tcW w:w="9420" w:type="dxa"/>
            <w:gridSpan w:val="3"/>
            <w:tcBorders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Прием с преимущественным правом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ahoma" w:ascii="Tahoma" w:hAnsi="Tahoma"/>
                <w:color w:val="000000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2490" w:type="dxa"/>
            <w:tcBorders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Общеобразовательные организации</w:t>
            </w:r>
          </w:p>
        </w:tc>
        <w:tc>
          <w:tcPr>
            <w:tcW w:w="3813" w:type="dxa"/>
            <w:tcBorders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Братья и сестры учеников, которые уже обучаются в школе и проживают совместно</w:t>
            </w:r>
          </w:p>
        </w:tc>
        <w:tc>
          <w:tcPr>
            <w:tcW w:w="3117" w:type="dxa"/>
            <w:tcBorders>
              <w:bottom w:val="single" w:sz="8" w:space="0" w:color="555555"/>
              <w:right w:val="single" w:sz="8" w:space="0" w:color="555555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п. 2 ст. 54 СК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ч. 3.1 ст. 67 Федерального закона от 29.12.2012 № 273-ФЗ п. 12 Порядка, утв. приказом Минпросвещения от 02.09.2020 № 458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555555"/>
          <w:sz w:val="28"/>
          <w:szCs w:val="28"/>
          <w:shd w:fill="FFFFFF" w:val="clear"/>
          <w:lang w:eastAsia="ru-RU"/>
        </w:rPr>
        <w:br/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  </w:t>
      </w:r>
      <w:r>
        <w:rPr>
          <w:rFonts w:cs="Times New Roman" w:ascii="Times New Roman" w:hAnsi="Times New Roman"/>
          <w:sz w:val="28"/>
          <w:szCs w:val="28"/>
          <w:lang w:eastAsia="ru-RU"/>
        </w:rPr>
        <w:t>Прием заявлений в первый класс для детей, не проживающих на закрепленной территории, начинается с 6 июля 2022 года до момента заполнения свободных мест для приема, но не позднее 5 сентября текущего года. В случаях, если школа закончила прием всех детей, указанных в пункте 2.1 настоящих Правил, прием в первый класс детей, не проживающих на закрепленной территории, может быть начат ранее 6 июля текущего года.</w:t>
      </w:r>
    </w:p>
    <w:p>
      <w:pPr>
        <w:pStyle w:val="Normal"/>
        <w:tabs>
          <w:tab w:val="clear" w:pos="708"/>
          <w:tab w:val="left" w:pos="3900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Планируемое количество мест для приёма в 1 класс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на 2022-2023 учебный год –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3 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первых класса общей численностью 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96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 человек.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   </w:t>
      </w:r>
      <w:r>
        <w:rPr>
          <w:rFonts w:cs="Times New Roman" w:ascii="Times New Roman" w:hAnsi="Times New Roman"/>
          <w:sz w:val="28"/>
          <w:szCs w:val="28"/>
          <w:lang w:eastAsia="ru-RU"/>
        </w:rPr>
        <w:t>Дети с ограниченными возможностями здоровья принимаются на обучение по адаптированной образовательной программе начального общего, основного общего и среднего общего только с согласия их родителей (законных представителей) и на основании рекомендаций психолого-медико-педагогической комиссии.</w:t>
      </w:r>
    </w:p>
    <w:p>
      <w:pPr>
        <w:pStyle w:val="Normal"/>
        <w:shd w:val="clear" w:color="auto" w:fill="FFFFFF"/>
        <w:spacing w:lineRule="atLeast" w:line="330" w:before="0" w:after="0"/>
        <w:rPr>
          <w:rFonts w:ascii="Tahoma" w:hAnsi="Tahoma" w:eastAsia="Times New Roman" w:cs="Tahoma"/>
          <w:color w:val="555555"/>
          <w:sz w:val="21"/>
          <w:szCs w:val="21"/>
          <w:lang w:eastAsia="ru-RU"/>
        </w:rPr>
      </w:pPr>
      <w:r>
        <w:rPr>
          <w:rFonts w:eastAsia="Times New Roman" w:cs="Tahoma" w:ascii="Tahoma" w:hAnsi="Tahoma"/>
          <w:color w:val="555555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330" w:before="0" w:after="0"/>
        <w:rPr>
          <w:rFonts w:ascii="Tahoma" w:hAnsi="Tahoma" w:eastAsia="Times New Roman" w:cs="Tahoma"/>
          <w:color w:val="555555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Какие документы нужны для приёма в МБОУ «СОШ №51 г. Улан-Удэ</w:t>
      </w:r>
      <w:r>
        <w:rPr>
          <w:rFonts w:eastAsia="Times New Roman" w:cs="Times New Roman" w:ascii="Times New Roman" w:hAnsi="Times New Roman"/>
          <w:b/>
          <w:bCs/>
          <w:color w:val="1F497D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lineRule="atLeast" w:line="330" w:before="0" w:after="0"/>
        <w:rPr>
          <w:rFonts w:ascii="Tahoma" w:hAnsi="Tahoma" w:eastAsia="Times New Roman" w:cs="Tahoma"/>
          <w:color w:val="555555"/>
          <w:sz w:val="21"/>
          <w:szCs w:val="21"/>
          <w:lang w:eastAsia="ru-RU"/>
        </w:rPr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копия документа, который удостоверяет личность родителя (законного представителя) или поступающего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копия свидетельства о рождении ребенка или документа, который подтверждает родство заявителя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копия документа, который подтверждает установление  опеки или попечительства (при необходимости)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копия документа о регистрации ребенка или поступающего по месту жительства (по месту пребывания) на закрепленной территории или справка о приеме документов для оформления регистрации  по месту жительства - для проживающих на закрепленной территории или использования права преимущественного приема братьев и сестер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справка с места работы родителя – для использования права внеочередного или первоочередного приема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окумент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(паспорт)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удостоверяющий личность заявителя (законного представителя ребёнка)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3. СНИЛС ребёнка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 СНИЛС одного родителя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копия заключения ПМПК (при наличии)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Копии предъявляемых при приеме документов хранятся в МБОУ «СОШ №51 г. Улан-Удэ »  в личном деле  на время обучения ребенка.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555555"/>
          <w:sz w:val="28"/>
          <w:szCs w:val="28"/>
          <w:shd w:fill="FBFCFC" w:val="clear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ahoma" w:hAnsi="Tahoma" w:eastAsia="Times New Roman" w:cs="Tahoma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Заявление о приеме на обучение и документы для приема на обучение подаются одним из следующих способов: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лично в общеобразовательную организацию;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через операторов почтовой связи общего пользования заказным письмом с уведомлением о вручении;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  посредством электронной почты МАОУ «СОШ №51 г. Улан-Удэ schoolnum51@yandex.ru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с использованием функционала (сервисов) государственных и муниципальных услуг.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График приёма документов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ahoma" w:hAnsi="Tahoma" w:eastAsia="Times New Roman" w:cs="Tahoma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в 1 класс на 2022-2023 учебный год: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ahoma" w:hAnsi="Tahoma" w:eastAsia="Times New Roman" w:cs="Tahoma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Среда,  четверг:  09.00-16.00.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ahoma" w:hAnsi="Tahoma" w:eastAsia="Times New Roman" w:cs="Tahoma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Перерыв: 12.00-13.00ч.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ahoma" w:hAnsi="Tahoma" w:eastAsia="Times New Roman" w:cs="Tahoma"/>
          <w:color w:val="555555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555555"/>
          <w:sz w:val="28"/>
          <w:szCs w:val="28"/>
          <w:lang w:eastAsia="ru-RU"/>
        </w:rPr>
        <w:t>Телефон для справок: 8(301) 440441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                           </w:t>
      </w:r>
      <w:r>
        <w:rPr>
          <w:rFonts w:cs="Times New Roman" w:ascii="Times New Roman" w:hAnsi="Times New Roman"/>
          <w:sz w:val="28"/>
          <w:szCs w:val="28"/>
          <w:lang w:eastAsia="ru-RU"/>
        </w:rPr>
        <w:t>Документы принимаются секретарем школы.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  <w:t>МИКРОРАЙОН МБОУ СОШ № 51</w:t>
      </w:r>
    </w:p>
    <w:p>
      <w:pPr>
        <w:pStyle w:val="Normal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555555"/>
          <w:sz w:val="28"/>
          <w:szCs w:val="28"/>
          <w:lang w:eastAsia="ru-RU"/>
        </w:rPr>
      </w:r>
      <w:bookmarkStart w:id="0" w:name="_GoBack"/>
      <w:bookmarkStart w:id="1" w:name="_GoBack"/>
      <w:bookmarkEnd w:id="1"/>
    </w:p>
    <w:tbl>
      <w:tblPr>
        <w:tblStyle w:val="a6"/>
        <w:tblpPr w:bottomFromText="0" w:horzAnchor="page" w:leftFromText="180" w:rightFromText="180" w:tblpX="748" w:tblpY="-67" w:topFromText="0" w:vertAnchor="text"/>
        <w:tblW w:w="10800" w:type="dxa"/>
        <w:jc w:val="left"/>
        <w:tblInd w:w="-4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45"/>
        <w:gridCol w:w="2655"/>
        <w:gridCol w:w="5700"/>
      </w:tblGrid>
      <w:tr>
        <w:trPr>
          <w:trHeight w:val="266" w:hRule="atLeast"/>
        </w:trPr>
        <w:tc>
          <w:tcPr>
            <w:tcW w:w="2445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ind w:left="1134" w:hanging="1134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Муниципальное</w:t>
            </w:r>
          </w:p>
          <w:p>
            <w:pPr>
              <w:pStyle w:val="Normal"/>
              <w:widowControl/>
              <w:spacing w:lineRule="auto" w:line="240" w:before="0" w:after="0"/>
              <w:ind w:left="1134" w:hanging="1134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бюджетное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общеобразовательное учреждение «Средняя общеобразовательная школа № 51» г. Улан-Удэ</w:t>
            </w:r>
          </w:p>
        </w:tc>
        <w:tc>
          <w:tcPr>
            <w:tcW w:w="26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Гагарина</w:t>
            </w:r>
          </w:p>
        </w:tc>
        <w:tc>
          <w:tcPr>
            <w:tcW w:w="57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2-17, 27,29,31,33</w:t>
            </w:r>
          </w:p>
        </w:tc>
      </w:tr>
      <w:tr>
        <w:trPr>
          <w:trHeight w:val="171" w:hRule="atLeast"/>
        </w:trPr>
        <w:tc>
          <w:tcPr>
            <w:tcW w:w="244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Красноармейская</w:t>
            </w:r>
          </w:p>
        </w:tc>
        <w:tc>
          <w:tcPr>
            <w:tcW w:w="57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14,37</w:t>
            </w:r>
          </w:p>
        </w:tc>
      </w:tr>
      <w:tr>
        <w:trPr>
          <w:trHeight w:val="171" w:hRule="atLeast"/>
        </w:trPr>
        <w:tc>
          <w:tcPr>
            <w:tcW w:w="244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Московская</w:t>
            </w:r>
          </w:p>
        </w:tc>
        <w:tc>
          <w:tcPr>
            <w:tcW w:w="57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1,4,12</w:t>
            </w:r>
          </w:p>
        </w:tc>
      </w:tr>
      <w:tr>
        <w:trPr>
          <w:trHeight w:val="171" w:hRule="atLeast"/>
        </w:trPr>
        <w:tc>
          <w:tcPr>
            <w:tcW w:w="244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Пионерская</w:t>
            </w:r>
          </w:p>
        </w:tc>
        <w:tc>
          <w:tcPr>
            <w:tcW w:w="57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12, 12а, 13,14,16, 17, 18,20, 20б</w:t>
            </w:r>
          </w:p>
        </w:tc>
      </w:tr>
      <w:tr>
        <w:trPr>
          <w:trHeight w:val="171" w:hRule="atLeast"/>
        </w:trPr>
        <w:tc>
          <w:tcPr>
            <w:tcW w:w="244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Проспект 50-я Октября</w:t>
            </w:r>
          </w:p>
        </w:tc>
        <w:tc>
          <w:tcPr>
            <w:tcW w:w="57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1-10,12-22 (четн.), 11,13, 15, 18, 24, 26, 28-48</w:t>
            </w:r>
          </w:p>
        </w:tc>
      </w:tr>
      <w:tr>
        <w:trPr>
          <w:trHeight w:val="171" w:hRule="atLeast"/>
        </w:trPr>
        <w:tc>
          <w:tcPr>
            <w:tcW w:w="244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Пушкина</w:t>
            </w:r>
          </w:p>
        </w:tc>
        <w:tc>
          <w:tcPr>
            <w:tcW w:w="57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1-9 (нечет.)</w:t>
            </w:r>
          </w:p>
        </w:tc>
      </w:tr>
      <w:tr>
        <w:trPr>
          <w:trHeight w:val="171" w:hRule="atLeast"/>
        </w:trPr>
        <w:tc>
          <w:tcPr>
            <w:tcW w:w="244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Революции 1905г.</w:t>
            </w:r>
          </w:p>
        </w:tc>
        <w:tc>
          <w:tcPr>
            <w:tcW w:w="57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1-38</w:t>
            </w:r>
          </w:p>
        </w:tc>
      </w:tr>
      <w:tr>
        <w:trPr>
          <w:trHeight w:val="171" w:hRule="atLeast"/>
        </w:trPr>
        <w:tc>
          <w:tcPr>
            <w:tcW w:w="244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Хахалова</w:t>
            </w:r>
          </w:p>
        </w:tc>
        <w:tc>
          <w:tcPr>
            <w:tcW w:w="57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 дома: 1,1а, 2, 2а, 2б, 2д, 3, 3а, 4б,5, 6, 8, 8б, 8г, 10,10а,10б, 11, 12,12а, 13, 14, 16б, 17,18, 19, 20, 21, 21а/1, 21а/2, 25</w:t>
            </w:r>
          </w:p>
        </w:tc>
      </w:tr>
      <w:tr>
        <w:trPr>
          <w:trHeight w:val="171" w:hRule="atLeast"/>
        </w:trPr>
        <w:tc>
          <w:tcPr>
            <w:tcW w:w="244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Цивилева</w:t>
            </w:r>
          </w:p>
        </w:tc>
        <w:tc>
          <w:tcPr>
            <w:tcW w:w="57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2, 3, 4,5,7,12,14,26,27,28, 28а, 29-36п, 38, 38п, 39, 40, 40п</w:t>
            </w:r>
          </w:p>
        </w:tc>
      </w:tr>
      <w:tr>
        <w:trPr>
          <w:trHeight w:val="319" w:hRule="atLeast"/>
        </w:trPr>
        <w:tc>
          <w:tcPr>
            <w:tcW w:w="244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Трактовая</w:t>
            </w:r>
          </w:p>
        </w:tc>
        <w:tc>
          <w:tcPr>
            <w:tcW w:w="57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 дома</w:t>
            </w:r>
          </w:p>
        </w:tc>
      </w:tr>
    </w:tbl>
    <w:p>
      <w:pPr>
        <w:pStyle w:val="Normal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555555"/>
          <w:sz w:val="28"/>
          <w:szCs w:val="28"/>
          <w:lang w:eastAsia="ru-RU"/>
        </w:rPr>
      </w:r>
    </w:p>
    <w:tbl>
      <w:tblPr>
        <w:tblStyle w:val="myTableStyle"/>
        <w:tblW w:w="6000" w:type="dxa"/>
        <w:jc w:val="center"/>
        <w:tblInd w:w="0" w:type="dxa"/>
        <w:tblLayout w:type="fixed"/>
        <w:tblCellMar>
          <w:top w:w="150" w:type="dxa"/>
          <w:left w:w="350" w:type="dxa"/>
          <w:bottom w:w="0" w:type="dxa"/>
          <w:right w:w="350" w:type="dxa"/>
        </w:tblCellMar>
      </w:tblPr>
      <w:tblGrid>
        <w:gridCol w:w="2999"/>
        <w:gridCol w:w="3000"/>
      </w:tblGrid>
      <w:tr>
        <w:trPr/>
        <w:tc>
          <w:tcPr>
            <w:tcW w:w="5999" w:type="dxa"/>
            <w:gridSpan w:val="2"/>
            <w:tcBorders>
              <w:bottom w:val="nil"/>
            </w:tcBorders>
          </w:tcPr>
          <w:p>
            <w:pPr>
              <w:pStyle w:val="Normal"/>
              <w:widowControl/>
              <w:spacing w:lineRule="auto" w:line="276" w:before="0" w:after="200"/>
              <w:jc w:val="center"/>
              <w:rPr>
                <w:b/>
                <w:b/>
                <w:bCs/>
                <w:sz w:val="36"/>
                <w:szCs w:val="36"/>
              </w:rPr>
            </w:pPr>
            <w:r>
              <w:rPr>
                <w:rFonts w:eastAsia="Calibri" w:cs=""/>
                <w:b/>
                <w:bCs/>
                <w:kern w:val="0"/>
                <w:sz w:val="36"/>
                <w:szCs w:val="36"/>
                <w:lang w:val="ru-RU" w:eastAsia="en-US" w:bidi="ar-SA"/>
              </w:rPr>
              <w:t>ДОКУМЕНТ ПОДПИСАН ЭЛЕКТРОННОЙ ПОДПИСЬЮ</w:t>
            </w:r>
          </w:p>
        </w:tc>
      </w:tr>
      <w:tr>
        <w:trPr/>
        <w:tc>
          <w:tcPr>
            <w:tcW w:w="5999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150" w:type="dxa"/>
              <w:right w:w="0" w:type="dxa"/>
            </w:tcMar>
          </w:tcPr>
          <w:p>
            <w:pPr>
              <w:pStyle w:val="Normal"/>
              <w:widowControl/>
              <w:shd w:val="clear" w:fill="000000"/>
              <w:spacing w:lineRule="auto" w:line="240" w:before="50" w:after="50"/>
              <w:jc w:val="center"/>
              <w:rPr>
                <w:b/>
                <w:b/>
                <w:bCs/>
                <w:color w:val="FFFFFF"/>
              </w:rPr>
            </w:pPr>
            <w:r>
              <w:rPr>
                <w:rFonts w:eastAsia="Calibri" w:cs=""/>
                <w:b/>
                <w:bCs/>
                <w:color w:val="FFFFFF"/>
                <w:kern w:val="0"/>
                <w:sz w:val="22"/>
                <w:szCs w:val="22"/>
                <w:lang w:val="ru-RU" w:eastAsia="en-US" w:bidi="ar-SA"/>
              </w:rPr>
              <w:t>СВЕДЕНИЯ О СЕРТИФИКАТЕ ЭП</w:t>
            </w:r>
          </w:p>
        </w:tc>
      </w:tr>
      <w:tr>
        <w:trPr/>
        <w:tc>
          <w:tcPr>
            <w:tcW w:w="2999" w:type="dxa"/>
            <w:tcBorders>
              <w:top w:val="nil"/>
              <w:bottom w:val="nil"/>
              <w:right w:val="nil"/>
            </w:tcBorders>
            <w:tcMar>
              <w:top w:w="0" w:type="dxa"/>
              <w:left w:w="150" w:type="dxa"/>
              <w:right w:w="150" w:type="dxa"/>
            </w:tcMar>
          </w:tcPr>
          <w:p>
            <w:pPr>
              <w:pStyle w:val="Normal"/>
              <w:widowControl/>
              <w:spacing w:lineRule="auto" w:line="276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Сертификат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</w:tcBorders>
            <w:tcMar>
              <w:top w:w="0" w:type="dxa"/>
              <w:left w:w="150" w:type="dxa"/>
              <w:right w:w="150" w:type="dxa"/>
            </w:tcMar>
          </w:tcPr>
          <w:p>
            <w:pPr>
              <w:pStyle w:val="Normal"/>
              <w:widowControl/>
              <w:spacing w:lineRule="auto" w:line="276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603332450510203670830559428146817986133868575854</w:t>
            </w:r>
          </w:p>
        </w:tc>
      </w:tr>
      <w:tr>
        <w:trPr/>
        <w:tc>
          <w:tcPr>
            <w:tcW w:w="2999" w:type="dxa"/>
            <w:tcBorders>
              <w:top w:val="nil"/>
              <w:bottom w:val="nil"/>
              <w:right w:val="nil"/>
            </w:tcBorders>
            <w:tcMar>
              <w:top w:w="0" w:type="dxa"/>
              <w:left w:w="150" w:type="dxa"/>
              <w:right w:w="150" w:type="dxa"/>
            </w:tcMar>
          </w:tcPr>
          <w:p>
            <w:pPr>
              <w:pStyle w:val="Normal"/>
              <w:widowControl/>
              <w:spacing w:lineRule="auto" w:line="276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Владелец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</w:tcBorders>
            <w:tcMar>
              <w:top w:w="0" w:type="dxa"/>
              <w:left w:w="150" w:type="dxa"/>
              <w:right w:w="150" w:type="dxa"/>
            </w:tcMar>
          </w:tcPr>
          <w:p>
            <w:pPr>
              <w:pStyle w:val="Normal"/>
              <w:widowControl/>
              <w:spacing w:lineRule="auto" w:line="276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Осорова Светлана Ботоевна</w:t>
            </w:r>
          </w:p>
        </w:tc>
      </w:tr>
      <w:tr>
        <w:trPr/>
        <w:tc>
          <w:tcPr>
            <w:tcW w:w="2999" w:type="dxa"/>
            <w:tcBorders>
              <w:top w:val="nil"/>
              <w:right w:val="nil"/>
            </w:tcBorders>
            <w:tcMar>
              <w:top w:w="0" w:type="dxa"/>
              <w:left w:w="150" w:type="dxa"/>
              <w:right w:w="150" w:type="dxa"/>
            </w:tcMar>
          </w:tcPr>
          <w:p>
            <w:pPr>
              <w:pStyle w:val="Normal"/>
              <w:widowControl/>
              <w:spacing w:lineRule="auto" w:line="276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Действителен</w:t>
            </w:r>
          </w:p>
        </w:tc>
        <w:tc>
          <w:tcPr>
            <w:tcW w:w="3000" w:type="dxa"/>
            <w:tcBorders>
              <w:top w:val="nil"/>
              <w:left w:val="nil"/>
            </w:tcBorders>
            <w:tcMar>
              <w:top w:w="0" w:type="dxa"/>
              <w:left w:w="150" w:type="dxa"/>
              <w:right w:w="150" w:type="dxa"/>
            </w:tcMar>
          </w:tcPr>
          <w:p>
            <w:pPr>
              <w:pStyle w:val="Normal"/>
              <w:widowControl/>
              <w:spacing w:lineRule="auto" w:line="276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 30.03.2022 по 30.03.2023</w:t>
            </w:r>
          </w:p>
        </w:tc>
      </w:tr>
    </w:tbl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2b6999"/>
    <w:rPr>
      <w:rFonts w:ascii="Tahoma" w:hAnsi="Tahoma" w:cs="Tahoma"/>
      <w:sz w:val="16"/>
      <w:szCs w:val="16"/>
    </w:rPr>
  </w:style>
  <w:style w:type="character" w:styleId="DefaultParagraphFontPHPDOCX">
    <w:name w:val="Default Paragraph Font PHPDOCX"/>
    <w:uiPriority w:val="1"/>
    <w:semiHidden/>
    <w:unhideWhenUsed/>
    <w:qFormat/>
    <w:rPr/>
  </w:style>
  <w:style w:type="character" w:styleId="TitleCarPHPDOCX" w:customStyle="1">
    <w:name w:val="Title Car PHPDOCX"/>
    <w:basedOn w:val="DefaultParagraphFontPHPDOCX"/>
    <w:link w:val="TitlePHPDOCX"/>
    <w:uiPriority w:val="10"/>
    <w:qFormat/>
    <w:rsid w:val="00df064e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ubtitleCarPHPDOCX" w:customStyle="1">
    <w:name w:val="Subtitle Car PHPDOCX"/>
    <w:basedOn w:val="DefaultParagraphFontPHPDOCX"/>
    <w:link w:val="SubtitlePHPDOCX"/>
    <w:uiPriority w:val="11"/>
    <w:qFormat/>
    <w:rsid w:val="00df064e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AnnotationreferencePHPDOCX">
    <w:name w:val="annotation reference PHPDOCX"/>
    <w:basedOn w:val="DefaultParagraphFontPHPDOCX"/>
    <w:uiPriority w:val="99"/>
    <w:semiHidden/>
    <w:unhideWhenUsed/>
    <w:qFormat/>
    <w:rsid w:val="00e139ea"/>
    <w:rPr>
      <w:sz w:val="16"/>
      <w:szCs w:val="16"/>
    </w:rPr>
  </w:style>
  <w:style w:type="character" w:styleId="CommentTextCharPHPDOCX" w:customStyle="1">
    <w:name w:val="Comment Text Char PHPDOCX"/>
    <w:basedOn w:val="DefaultParagraphFontPHPDOCX"/>
    <w:link w:val="AnnotationtextPHPDOCX"/>
    <w:uiPriority w:val="99"/>
    <w:semiHidden/>
    <w:qFormat/>
    <w:rsid w:val="00e139ea"/>
    <w:rPr>
      <w:sz w:val="20"/>
      <w:szCs w:val="20"/>
    </w:rPr>
  </w:style>
  <w:style w:type="character" w:styleId="CommentSubjectCharPHPDOCX" w:customStyle="1">
    <w:name w:val="Comment Subject Char PHPDOCX"/>
    <w:basedOn w:val="CommentTextCharPHPDOCX"/>
    <w:link w:val="AnnotationsubjectPHPDOCX"/>
    <w:uiPriority w:val="99"/>
    <w:semiHidden/>
    <w:qFormat/>
    <w:rsid w:val="00e139ea"/>
    <w:rPr>
      <w:b/>
      <w:bCs/>
      <w:sz w:val="20"/>
      <w:szCs w:val="20"/>
    </w:rPr>
  </w:style>
  <w:style w:type="character" w:styleId="BalloonTextCharPHPDOCX" w:customStyle="1">
    <w:name w:val="Balloon Text Char PHPDOCX"/>
    <w:basedOn w:val="DefaultParagraphFontPHPDOCX"/>
    <w:link w:val="BalloonTextPHPDOCX"/>
    <w:uiPriority w:val="99"/>
    <w:semiHidden/>
    <w:qFormat/>
    <w:rsid w:val="00e139ea"/>
    <w:rPr>
      <w:rFonts w:ascii="Tahoma" w:hAnsi="Tahoma" w:cs="Tahoma"/>
      <w:sz w:val="16"/>
      <w:szCs w:val="16"/>
    </w:rPr>
  </w:style>
  <w:style w:type="character" w:styleId="FootnoteTextCarPHPDOCX" w:customStyle="1">
    <w:name w:val="footnote Text Car PHPDOCX"/>
    <w:basedOn w:val="DefaultParagraphFontPHPDOCX"/>
    <w:link w:val="FootnoteTextPHPDOCX"/>
    <w:uiPriority w:val="99"/>
    <w:semiHidden/>
    <w:qFormat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qFormat/>
    <w:rsid w:val="006e0fda"/>
    <w:rPr>
      <w:vertAlign w:val="superscript"/>
    </w:rPr>
  </w:style>
  <w:style w:type="character" w:styleId="EndnoteTextCarPHPDOCX" w:customStyle="1">
    <w:name w:val="endnote Text Car PHPDOCX"/>
    <w:basedOn w:val="DefaultParagraphFontPHPDOCX"/>
    <w:link w:val="EndnoteTextPHPDOCX"/>
    <w:uiPriority w:val="99"/>
    <w:semiHidden/>
    <w:qFormat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qFormat/>
    <w:rsid w:val="006e0fda"/>
    <w:rPr>
      <w:vertAlign w:val="superscript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2b699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4ffb"/>
    <w:pPr>
      <w:spacing w:before="0" w:after="200"/>
      <w:ind w:left="720" w:hanging="0"/>
      <w:contextualSpacing/>
    </w:pPr>
    <w:rPr/>
  </w:style>
  <w:style w:type="paragraph" w:styleId="ListParagraphPHPDOCX">
    <w:name w:val="List Paragraph PHPDOCX"/>
    <w:uiPriority w:val="34"/>
    <w:qFormat/>
    <w:rsid w:val="00df064e"/>
    <w:pPr>
      <w:widowControl/>
      <w:bidi w:val="0"/>
      <w:spacing w:before="0" w:after="200" w:lineRule="auto" w:line="276"/>
      <w:ind w:left="720" w:hanging="0"/>
      <w:contextualSpacing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PHPDOCX">
    <w:name w:val="Title PHPDOCX"/>
    <w:link w:val="TitleCarPHPDOCX"/>
    <w:uiPriority w:val="10"/>
    <w:qFormat/>
    <w:rsid w:val="00df064e"/>
    <w:pPr>
      <w:widowControl/>
      <w:pBdr>
        <w:bottom w:val="single" w:sz="8" w:space="4" w:color="4F81BD"/>
      </w:pBdr>
      <w:bidi w:val="0"/>
      <w:spacing w:lineRule="auto" w:line="240" w:before="0" w:after="300"/>
      <w:contextualSpacing/>
      <w:jc w:val="left"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  <w:lang w:val="ru-RU" w:eastAsia="en-US" w:bidi="ar-SA"/>
    </w:rPr>
  </w:style>
  <w:style w:type="paragraph" w:styleId="SubtitlePHPDOCX">
    <w:name w:val="Subtitle PHPDOCX"/>
    <w:link w:val="SubtitleCarPHPDOCX"/>
    <w:uiPriority w:val="11"/>
    <w:qFormat/>
    <w:rsid w:val="00df064e"/>
    <w:pPr>
      <w:widowControl/>
      <w:bidi w:val="0"/>
      <w:spacing w:lineRule="auto" w:line="276" w:before="0" w:after="200"/>
      <w:jc w:val="left"/>
    </w:pPr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kern w:val="0"/>
      <w:sz w:val="24"/>
      <w:szCs w:val="24"/>
      <w:lang w:val="ru-RU" w:eastAsia="en-US" w:bidi="ar-SA"/>
    </w:rPr>
  </w:style>
  <w:style w:type="paragraph" w:styleId="AnnotationtextPHPDOCX">
    <w:name w:val="annotation text PHPDOCX"/>
    <w:link w:val="CommentTextCharPHPDOCX"/>
    <w:uiPriority w:val="99"/>
    <w:semiHidden/>
    <w:unhideWhenUsed/>
    <w:qFormat/>
    <w:rsid w:val="00e139ea"/>
    <w:pPr>
      <w:widowControl/>
      <w:bidi w:val="0"/>
      <w:spacing w:lineRule="auto" w:line="240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qFormat/>
    <w:rsid w:val="00e139ea"/>
    <w:pPr/>
    <w:rPr>
      <w:b/>
      <w:bCs/>
    </w:rPr>
  </w:style>
  <w:style w:type="paragraph" w:styleId="BalloonTextPHPDOCX">
    <w:name w:val="Balloon Text PHPDOCX"/>
    <w:link w:val="BalloonTextCharPHPDOCX"/>
    <w:uiPriority w:val="99"/>
    <w:semiHidden/>
    <w:unhideWhenUsed/>
    <w:qFormat/>
    <w:rsid w:val="00e139ea"/>
    <w:pPr>
      <w:widowControl/>
      <w:bidi w:val="0"/>
      <w:spacing w:lineRule="auto" w:line="240" w:before="0" w:after="0"/>
      <w:jc w:val="left"/>
    </w:pPr>
    <w:rPr>
      <w:rFonts w:ascii="Tahoma" w:hAnsi="Tahoma" w:cs="Tahoma" w:eastAsia="Calibri" w:eastAsiaTheme="minorHAnsi"/>
      <w:color w:val="auto"/>
      <w:kern w:val="0"/>
      <w:sz w:val="16"/>
      <w:szCs w:val="16"/>
      <w:lang w:val="ru-RU" w:eastAsia="en-US" w:bidi="ar-SA"/>
    </w:rPr>
  </w:style>
  <w:style w:type="paragraph" w:styleId="FootnoteTextPHPDOCX">
    <w:name w:val="footnote Text PHPDOCX"/>
    <w:link w:val="FootnoteTextCarPHPDOCX"/>
    <w:uiPriority w:val="99"/>
    <w:semiHidden/>
    <w:unhideWhenUsed/>
    <w:qFormat/>
    <w:rsid w:val="006e0fd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EndnoteTextPHPDOCX">
    <w:name w:val="endnote Text PHPDOCX"/>
    <w:link w:val="EndnoteTextCarPHPDOCX"/>
    <w:uiPriority w:val="99"/>
    <w:semiHidden/>
    <w:unhideWhenUsed/>
    <w:qFormat/>
    <w:rsid w:val="006e0fd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0c7f2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yTableStyle">
    <w:name w:val="myTableStyle"/>
    <w:tblPr>
      <w:tblBorders>
        <w:top w:val="single" w:color="000000" w:sz="16" w:space="0"/>
        <w:left w:val="single" w:color="000000" w:sz="16" w:space="0"/>
        <w:bottom w:val="single" w:color="000000" w:sz="16" w:space="0"/>
        <w:right w:val="single" w:color="000000" w:sz="16" w:space="0"/>
        <w:insideH w:val="nil" w:color="000000" w:sz="16" w:space="0"/>
        <w:insideV w:val="nil" w:color="000000" w:sz="16" w:space="0"/>
      </w:tblBorders>
      <w:tblCellMar>
        <w:left w:w="150" w:type="dxa"/>
        <w:right w:w="150" w:type="dxa"/>
        <w:top w:w="0" w:type="dxa"/>
        <w:bottom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ip.1obraz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LibreOffice/7.3.2.2$Windows_X86_64 LibreOffice_project/49f2b1bff42cfccbd8f788c8dc32c1c309559be0</Application>
  <AppVersion>15.0000</AppVersion>
  <Pages>4</Pages>
  <Words>792</Words>
  <Characters>4950</Characters>
  <CharactersWithSpaces>5693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2022-03-09T06:10:00Z</dcterms:created>
  <dc:creator>Светлана</dc:creator>
  <dc:description/>
  <dc:language>ru-RU</dc:language>
  <cp:lastModifiedBy/>
  <dcterms:modified xsi:type="dcterms:W3CDTF">2022-04-13T08:38:57Z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